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D333" w14:textId="733E8B11" w:rsidR="00E835BD" w:rsidRDefault="00CD1724" w:rsidP="00D2521F">
      <w:pPr>
        <w:rPr>
          <w:rFonts w:ascii="Trebuchet MS" w:hAnsi="Trebuchet MS" w:cstheme="minorHAnsi"/>
        </w:rPr>
      </w:pPr>
      <w:r>
        <w:rPr>
          <w:noProof/>
        </w:rPr>
        <w:pict w14:anchorId="0F65EC2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01.25pt;margin-top:44pt;width:289.3pt;height:24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16E7E05D" w14:textId="01520EB4" w:rsidR="00E65989" w:rsidRPr="00D11CB8" w:rsidRDefault="00143310" w:rsidP="00E65989">
                  <w:pPr>
                    <w:jc w:val="center"/>
                    <w:rPr>
                      <w:rFonts w:ascii="Trebuchet MS" w:hAnsi="Trebuchet MS" w:cstheme="minorHAnsi"/>
                      <w:b/>
                      <w:bCs/>
                    </w:rPr>
                  </w:pPr>
                  <w:r>
                    <w:rPr>
                      <w:rFonts w:ascii="Trebuchet MS" w:hAnsi="Trebuchet MS" w:cstheme="minorHAnsi"/>
                      <w:b/>
                      <w:bCs/>
                    </w:rPr>
                    <w:t>SUSUN</w:t>
                  </w:r>
                  <w:r w:rsidR="00DA02CB">
                    <w:rPr>
                      <w:rFonts w:ascii="Trebuchet MS" w:hAnsi="Trebuchet MS" w:cstheme="minorHAnsi"/>
                      <w:b/>
                      <w:bCs/>
                    </w:rPr>
                    <w:t xml:space="preserve"> </w:t>
                  </w:r>
                  <w:r w:rsidR="00CD1724">
                    <w:rPr>
                      <w:rFonts w:ascii="Trebuchet MS" w:hAnsi="Trebuchet MS" w:cstheme="minorHAnsi"/>
                      <w:b/>
                      <w:bCs/>
                    </w:rPr>
                    <w:t>–</w:t>
                  </w:r>
                  <w:r w:rsidR="00E65989" w:rsidRPr="00D11CB8">
                    <w:rPr>
                      <w:rFonts w:ascii="Trebuchet MS" w:hAnsi="Trebuchet MS" w:cstheme="minorHAnsi"/>
                      <w:b/>
                      <w:bCs/>
                    </w:rPr>
                    <w:t xml:space="preserve"> </w:t>
                  </w:r>
                  <w:r w:rsidR="00CD1724">
                    <w:rPr>
                      <w:rFonts w:ascii="Trebuchet MS" w:hAnsi="Trebuchet MS" w:cstheme="minorHAnsi"/>
                      <w:b/>
                      <w:bCs/>
                    </w:rPr>
                    <w:t>Members roles outline</w:t>
                  </w:r>
                </w:p>
                <w:p w14:paraId="6EAF3733" w14:textId="5050C1EE" w:rsidR="00E65989" w:rsidRDefault="00E65989"/>
              </w:txbxContent>
            </v:textbox>
            <w10:wrap type="square"/>
          </v:shape>
        </w:pict>
      </w:r>
      <w:r w:rsidR="00143310">
        <w:rPr>
          <w:rFonts w:ascii="Trebuchet MS" w:hAnsi="Trebuchet MS" w:cstheme="minorHAnsi"/>
          <w:noProof/>
        </w:rPr>
        <w:drawing>
          <wp:inline distT="0" distB="0" distL="0" distR="0" wp14:anchorId="7C3A3553" wp14:editId="2A9D8089">
            <wp:extent cx="1104900" cy="1099989"/>
            <wp:effectExtent l="0" t="0" r="0" b="0"/>
            <wp:docPr id="322286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061" cy="1108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DDF4D" w14:textId="15869C95" w:rsidR="00825C8B" w:rsidRPr="00E835BD" w:rsidRDefault="00825C8B" w:rsidP="00A33F0E">
      <w:pPr>
        <w:pStyle w:val="NormalWeb"/>
        <w:rPr>
          <w:rFonts w:ascii="Trebuchet MS" w:hAnsi="Trebuchet MS" w:cstheme="minorHAnsi"/>
        </w:rPr>
      </w:pPr>
      <w:r w:rsidRPr="00E835BD">
        <w:rPr>
          <w:rFonts w:ascii="Trebuchet MS" w:hAnsi="Trebuchet MS" w:cstheme="minorHAnsi"/>
        </w:rPr>
        <w:t xml:space="preserve">The </w:t>
      </w:r>
      <w:r w:rsidR="00143310">
        <w:rPr>
          <w:rFonts w:ascii="Trebuchet MS" w:hAnsi="Trebuchet MS" w:cstheme="minorHAnsi"/>
        </w:rPr>
        <w:t>School of Health and Sport</w:t>
      </w:r>
      <w:r w:rsidRPr="00E835BD">
        <w:rPr>
          <w:rFonts w:ascii="Trebuchet MS" w:hAnsi="Trebuchet MS" w:cstheme="minorHAnsi"/>
        </w:rPr>
        <w:t xml:space="preserve"> at </w:t>
      </w:r>
      <w:r w:rsidR="00143310">
        <w:rPr>
          <w:rFonts w:ascii="Trebuchet MS" w:hAnsi="Trebuchet MS" w:cstheme="minorHAnsi"/>
        </w:rPr>
        <w:t xml:space="preserve">Southampton </w:t>
      </w:r>
      <w:r w:rsidRPr="00E835BD">
        <w:rPr>
          <w:rFonts w:ascii="Trebuchet MS" w:hAnsi="Trebuchet MS" w:cstheme="minorHAnsi"/>
        </w:rPr>
        <w:t xml:space="preserve">Solent University recognises the important contribution that service users and carers </w:t>
      </w:r>
      <w:r w:rsidR="00F31D07">
        <w:rPr>
          <w:rFonts w:ascii="Trebuchet MS" w:hAnsi="Trebuchet MS" w:cstheme="minorHAnsi"/>
        </w:rPr>
        <w:t xml:space="preserve">(people with lived experience) </w:t>
      </w:r>
      <w:r w:rsidRPr="00E835BD">
        <w:rPr>
          <w:rFonts w:ascii="Trebuchet MS" w:hAnsi="Trebuchet MS" w:cstheme="minorHAnsi"/>
        </w:rPr>
        <w:t>make to the delivery of healthcare</w:t>
      </w:r>
      <w:r w:rsidR="00052D78" w:rsidRPr="00E835BD">
        <w:rPr>
          <w:rFonts w:ascii="Trebuchet MS" w:hAnsi="Trebuchet MS" w:cstheme="minorHAnsi"/>
        </w:rPr>
        <w:t xml:space="preserve"> and social work</w:t>
      </w:r>
      <w:r w:rsidRPr="00E835BD">
        <w:rPr>
          <w:rFonts w:ascii="Trebuchet MS" w:hAnsi="Trebuchet MS" w:cstheme="minorHAnsi"/>
          <w:color w:val="0070C0"/>
        </w:rPr>
        <w:t xml:space="preserve"> </w:t>
      </w:r>
      <w:r w:rsidRPr="00E835BD">
        <w:rPr>
          <w:rFonts w:ascii="Trebuchet MS" w:hAnsi="Trebuchet MS" w:cstheme="minorHAnsi"/>
        </w:rPr>
        <w:t>education. </w:t>
      </w:r>
      <w:r w:rsidR="00795DC5" w:rsidRPr="00E835BD">
        <w:rPr>
          <w:rFonts w:ascii="Trebuchet MS" w:hAnsi="Trebuchet MS" w:cstheme="minorHAnsi"/>
        </w:rPr>
        <w:t>Professional, statutory and regulatory bodies require service user and carer involvement in all aspects of the curriculum.</w:t>
      </w:r>
      <w:r w:rsidR="00795DC5">
        <w:rPr>
          <w:rFonts w:ascii="Trebuchet MS" w:hAnsi="Trebuchet MS" w:cstheme="minorHAnsi"/>
        </w:rPr>
        <w:t xml:space="preserve"> </w:t>
      </w:r>
      <w:r w:rsidRPr="00E835BD">
        <w:rPr>
          <w:rFonts w:ascii="Trebuchet MS" w:hAnsi="Trebuchet MS" w:cstheme="minorHAnsi"/>
        </w:rPr>
        <w:t>By sharing their experience with students, academics and practitioners</w:t>
      </w:r>
      <w:r w:rsidR="00CF5566">
        <w:rPr>
          <w:rFonts w:ascii="Trebuchet MS" w:hAnsi="Trebuchet MS" w:cstheme="minorHAnsi"/>
        </w:rPr>
        <w:t>,</w:t>
      </w:r>
      <w:r w:rsidRPr="00E835BD">
        <w:rPr>
          <w:rFonts w:ascii="Trebuchet MS" w:hAnsi="Trebuchet MS" w:cstheme="minorHAnsi"/>
        </w:rPr>
        <w:t xml:space="preserve"> they can </w:t>
      </w:r>
      <w:r w:rsidR="009F7333">
        <w:rPr>
          <w:rFonts w:ascii="Trebuchet MS" w:hAnsi="Trebuchet MS" w:cstheme="minorHAnsi"/>
        </w:rPr>
        <w:t>engage with</w:t>
      </w:r>
      <w:r w:rsidRPr="00E835BD">
        <w:rPr>
          <w:rFonts w:ascii="Trebuchet MS" w:hAnsi="Trebuchet MS" w:cstheme="minorHAnsi"/>
        </w:rPr>
        <w:t xml:space="preserve"> curriculum design,</w:t>
      </w:r>
      <w:r w:rsidR="00773DE4">
        <w:rPr>
          <w:rFonts w:ascii="Trebuchet MS" w:hAnsi="Trebuchet MS" w:cstheme="minorHAnsi"/>
        </w:rPr>
        <w:t xml:space="preserve"> research,</w:t>
      </w:r>
      <w:r w:rsidRPr="00E835BD">
        <w:rPr>
          <w:rFonts w:ascii="Trebuchet MS" w:hAnsi="Trebuchet MS" w:cstheme="minorHAnsi"/>
        </w:rPr>
        <w:t xml:space="preserve"> </w:t>
      </w:r>
      <w:r w:rsidR="00BB326B">
        <w:rPr>
          <w:rFonts w:ascii="Trebuchet MS" w:hAnsi="Trebuchet MS" w:cstheme="minorHAnsi"/>
        </w:rPr>
        <w:t xml:space="preserve">programme </w:t>
      </w:r>
      <w:r w:rsidRPr="00E835BD">
        <w:rPr>
          <w:rFonts w:ascii="Trebuchet MS" w:hAnsi="Trebuchet MS" w:cstheme="minorHAnsi"/>
        </w:rPr>
        <w:t xml:space="preserve">delivery, management </w:t>
      </w:r>
      <w:r w:rsidR="008240D0">
        <w:rPr>
          <w:rFonts w:ascii="Trebuchet MS" w:hAnsi="Trebuchet MS" w:cstheme="minorHAnsi"/>
        </w:rPr>
        <w:t>as well as the</w:t>
      </w:r>
      <w:r w:rsidRPr="00E835BD">
        <w:rPr>
          <w:rFonts w:ascii="Trebuchet MS" w:hAnsi="Trebuchet MS" w:cstheme="minorHAnsi"/>
        </w:rPr>
        <w:t xml:space="preserve"> recruitment and assessment of students.</w:t>
      </w:r>
    </w:p>
    <w:p w14:paraId="059CFC15" w14:textId="13426300" w:rsidR="00AC739A" w:rsidRPr="00AC739A" w:rsidRDefault="00825C8B" w:rsidP="00BB5F14">
      <w:pPr>
        <w:pStyle w:val="NormalWeb"/>
        <w:spacing w:before="60" w:beforeAutospacing="0" w:after="120" w:afterAutospacing="0"/>
        <w:rPr>
          <w:rFonts w:ascii="Trebuchet MS" w:hAnsi="Trebuchet MS" w:cstheme="minorHAnsi"/>
          <w:i/>
          <w:iCs/>
        </w:rPr>
      </w:pPr>
      <w:r w:rsidRPr="00D303CB">
        <w:rPr>
          <w:rFonts w:ascii="Trebuchet MS" w:hAnsi="Trebuchet MS" w:cstheme="minorHAnsi"/>
          <w:b/>
          <w:bCs/>
        </w:rPr>
        <w:t>The Nursing and Midwifery Council</w:t>
      </w:r>
      <w:r w:rsidRPr="00E835BD">
        <w:rPr>
          <w:rFonts w:ascii="Trebuchet MS" w:hAnsi="Trebuchet MS" w:cstheme="minorHAnsi"/>
        </w:rPr>
        <w:t xml:space="preserve"> (2018) </w:t>
      </w:r>
      <w:r w:rsidR="00DE1370" w:rsidRPr="00E835BD">
        <w:rPr>
          <w:rStyle w:val="Emphasis"/>
          <w:rFonts w:ascii="Trebuchet MS" w:hAnsi="Trebuchet MS" w:cstheme="minorHAnsi"/>
        </w:rPr>
        <w:t>Realising professionalism: Standards for education and training</w:t>
      </w:r>
      <w:r w:rsidR="00DE1370">
        <w:rPr>
          <w:rStyle w:val="Emphasis"/>
          <w:rFonts w:ascii="Trebuchet MS" w:hAnsi="Trebuchet MS" w:cstheme="minorHAnsi"/>
        </w:rPr>
        <w:t xml:space="preserve"> -</w:t>
      </w:r>
      <w:r w:rsidR="00DE1370" w:rsidRPr="00E835BD">
        <w:rPr>
          <w:rStyle w:val="Emphasis"/>
          <w:rFonts w:ascii="Trebuchet MS" w:hAnsi="Trebuchet MS" w:cstheme="minorHAnsi"/>
        </w:rPr>
        <w:t xml:space="preserve"> Part 1</w:t>
      </w:r>
      <w:r w:rsidR="007E42FB">
        <w:rPr>
          <w:rStyle w:val="Emphasis"/>
          <w:rFonts w:ascii="Trebuchet MS" w:hAnsi="Trebuchet MS" w:cstheme="minorHAnsi"/>
        </w:rPr>
        <w:t xml:space="preserve">. </w:t>
      </w:r>
      <w:r w:rsidR="007E42FB" w:rsidRPr="007E42FB">
        <w:rPr>
          <w:rStyle w:val="Emphasis"/>
          <w:rFonts w:ascii="Trebuchet MS" w:hAnsi="Trebuchet MS" w:cstheme="minorHAnsi"/>
          <w:i w:val="0"/>
          <w:iCs w:val="0"/>
        </w:rPr>
        <w:t>Advises that:</w:t>
      </w:r>
    </w:p>
    <w:p w14:paraId="1AC01EC8" w14:textId="072D9EAE" w:rsidR="00825C8B" w:rsidRPr="00E835BD" w:rsidRDefault="00825C8B" w:rsidP="00AC739A">
      <w:pPr>
        <w:pStyle w:val="NormalWeb"/>
        <w:spacing w:before="0" w:beforeAutospacing="0" w:after="120" w:afterAutospacing="0"/>
        <w:rPr>
          <w:rFonts w:ascii="Trebuchet MS" w:hAnsi="Trebuchet MS" w:cstheme="minorHAnsi"/>
        </w:rPr>
      </w:pPr>
      <w:r w:rsidRPr="00E835BD">
        <w:rPr>
          <w:rStyle w:val="Emphasis"/>
          <w:rFonts w:ascii="Trebuchet MS" w:hAnsi="Trebuchet MS" w:cstheme="minorHAnsi"/>
        </w:rPr>
        <w:t>Standards framework for nursing and midwifery education</w:t>
      </w:r>
      <w:r w:rsidRPr="00E835BD">
        <w:rPr>
          <w:rFonts w:ascii="Trebuchet MS" w:hAnsi="Trebuchet MS" w:cstheme="minorHAnsi"/>
        </w:rPr>
        <w:t xml:space="preserve"> states: </w:t>
      </w:r>
      <w:r w:rsidR="00D2521F">
        <w:rPr>
          <w:rStyle w:val="Emphasis"/>
          <w:rFonts w:ascii="Trebuchet MS" w:hAnsi="Trebuchet MS" w:cstheme="minorHAnsi"/>
        </w:rPr>
        <w:t>“</w:t>
      </w:r>
      <w:r w:rsidRPr="00E835BD">
        <w:rPr>
          <w:rStyle w:val="Emphasis"/>
          <w:rFonts w:ascii="Trebuchet MS" w:hAnsi="Trebuchet MS" w:cstheme="minorHAnsi"/>
        </w:rPr>
        <w:t>approved education institutions, together with practice learning partners, must … ensure programmes are designed, developed, delivered, evaluated and co-produced with service users and other stakeholder</w:t>
      </w:r>
      <w:r w:rsidR="00D2521F">
        <w:rPr>
          <w:rStyle w:val="Emphasis"/>
          <w:rFonts w:ascii="Trebuchet MS" w:hAnsi="Trebuchet MS" w:cstheme="minorHAnsi"/>
        </w:rPr>
        <w:t>s”</w:t>
      </w:r>
      <w:r w:rsidRPr="00E835BD">
        <w:rPr>
          <w:rFonts w:ascii="Trebuchet MS" w:hAnsi="Trebuchet MS" w:cstheme="minorHAnsi"/>
        </w:rPr>
        <w:t>.</w:t>
      </w:r>
    </w:p>
    <w:p w14:paraId="786F3264" w14:textId="1BCFD0E9" w:rsidR="00202F6F" w:rsidRPr="00E835BD" w:rsidRDefault="00202F6F" w:rsidP="00BB5F14">
      <w:pPr>
        <w:pStyle w:val="NormalWeb"/>
        <w:spacing w:before="0" w:beforeAutospacing="0" w:after="120" w:afterAutospacing="0"/>
        <w:rPr>
          <w:rFonts w:ascii="Trebuchet MS" w:hAnsi="Trebuchet MS" w:cstheme="minorHAnsi"/>
        </w:rPr>
      </w:pPr>
      <w:r w:rsidRPr="002814DA">
        <w:rPr>
          <w:rFonts w:ascii="Trebuchet MS" w:hAnsi="Trebuchet MS" w:cstheme="minorHAnsi"/>
          <w:b/>
          <w:bCs/>
        </w:rPr>
        <w:t>Social Work England</w:t>
      </w:r>
      <w:r w:rsidRPr="00E835BD">
        <w:rPr>
          <w:rFonts w:ascii="Trebuchet MS" w:hAnsi="Trebuchet MS" w:cstheme="minorHAnsi"/>
        </w:rPr>
        <w:t xml:space="preserve"> (2020)</w:t>
      </w:r>
      <w:r w:rsidR="00AC739A" w:rsidRPr="00AC739A">
        <w:rPr>
          <w:rFonts w:ascii="Trebuchet MS" w:hAnsi="Trebuchet MS" w:cstheme="minorHAnsi"/>
        </w:rPr>
        <w:t xml:space="preserve"> </w:t>
      </w:r>
      <w:r w:rsidR="00AC739A" w:rsidRPr="00AC739A">
        <w:rPr>
          <w:rFonts w:ascii="Trebuchet MS" w:hAnsi="Trebuchet MS" w:cstheme="minorHAnsi"/>
          <w:i/>
          <w:iCs/>
        </w:rPr>
        <w:t>The Qualifying Education and Training Standards</w:t>
      </w:r>
      <w:r w:rsidR="007E42FB">
        <w:rPr>
          <w:rFonts w:ascii="Trebuchet MS" w:hAnsi="Trebuchet MS" w:cstheme="minorHAnsi"/>
          <w:i/>
          <w:iCs/>
        </w:rPr>
        <w:t xml:space="preserve">. </w:t>
      </w:r>
      <w:r w:rsidR="007E42FB" w:rsidRPr="007E42FB">
        <w:rPr>
          <w:rFonts w:ascii="Trebuchet MS" w:hAnsi="Trebuchet MS" w:cstheme="minorHAnsi"/>
        </w:rPr>
        <w:t>Advises that</w:t>
      </w:r>
      <w:r w:rsidR="00AC739A" w:rsidRPr="007E42FB">
        <w:rPr>
          <w:rFonts w:ascii="Trebuchet MS" w:hAnsi="Trebuchet MS" w:cstheme="minorHAnsi"/>
        </w:rPr>
        <w:t>:</w:t>
      </w:r>
    </w:p>
    <w:p w14:paraId="18296061" w14:textId="799710C0" w:rsidR="00202F6F" w:rsidRPr="00E835BD" w:rsidRDefault="00202F6F" w:rsidP="00B100E5">
      <w:pPr>
        <w:pStyle w:val="NormalWeb"/>
        <w:spacing w:before="60" w:beforeAutospacing="0" w:after="60" w:afterAutospacing="0"/>
        <w:rPr>
          <w:rFonts w:ascii="Trebuchet MS" w:hAnsi="Trebuchet MS" w:cstheme="minorHAnsi"/>
        </w:rPr>
      </w:pPr>
      <w:r w:rsidRPr="00E835BD">
        <w:rPr>
          <w:rFonts w:ascii="Trebuchet MS" w:hAnsi="Trebuchet MS" w:cstheme="minorHAnsi"/>
        </w:rPr>
        <w:t xml:space="preserve">Standard 1.3 states: </w:t>
      </w:r>
      <w:r w:rsidRPr="00E835BD">
        <w:rPr>
          <w:rFonts w:ascii="Trebuchet MS" w:hAnsi="Trebuchet MS" w:cstheme="minorHAnsi"/>
          <w:i/>
          <w:iCs/>
        </w:rPr>
        <w:t>“Ensure that employers, placement providers and people with lived experience of social work are involved in admissions processes”.</w:t>
      </w:r>
    </w:p>
    <w:p w14:paraId="746D9FED" w14:textId="59970E21" w:rsidR="00202F6F" w:rsidRPr="00E835BD" w:rsidRDefault="00202F6F" w:rsidP="00BB5F14">
      <w:pPr>
        <w:pStyle w:val="NormalWeb"/>
        <w:spacing w:before="120" w:beforeAutospacing="0" w:after="120" w:afterAutospacing="0"/>
        <w:rPr>
          <w:rFonts w:ascii="Trebuchet MS" w:hAnsi="Trebuchet MS" w:cstheme="minorHAnsi"/>
          <w:i/>
          <w:iCs/>
        </w:rPr>
      </w:pPr>
      <w:r w:rsidRPr="00E835BD">
        <w:rPr>
          <w:rFonts w:ascii="Trebuchet MS" w:hAnsi="Trebuchet MS" w:cstheme="minorHAnsi"/>
        </w:rPr>
        <w:t xml:space="preserve">Standard 3.5 states: </w:t>
      </w:r>
      <w:r w:rsidRPr="00E835BD">
        <w:rPr>
          <w:rFonts w:ascii="Trebuchet MS" w:hAnsi="Trebuchet MS" w:cstheme="minorHAnsi"/>
          <w:i/>
          <w:iCs/>
        </w:rPr>
        <w:t>“Ensure that regular and effective monitoring, evaluation and improvement systems are in place, and that these involve employers, people with lived experience of social work, and students”.</w:t>
      </w:r>
    </w:p>
    <w:p w14:paraId="4DA31D31" w14:textId="1305EB1F" w:rsidR="00202F6F" w:rsidRPr="00E835BD" w:rsidRDefault="00202F6F" w:rsidP="00BB5F14">
      <w:pPr>
        <w:pStyle w:val="NormalWeb"/>
        <w:spacing w:before="120" w:beforeAutospacing="0" w:after="120" w:afterAutospacing="0"/>
        <w:rPr>
          <w:rFonts w:ascii="Trebuchet MS" w:hAnsi="Trebuchet MS" w:cstheme="minorHAnsi"/>
          <w:i/>
          <w:iCs/>
        </w:rPr>
      </w:pPr>
      <w:r w:rsidRPr="00E835BD">
        <w:rPr>
          <w:rFonts w:ascii="Trebuchet MS" w:hAnsi="Trebuchet MS" w:cstheme="minorHAnsi"/>
        </w:rPr>
        <w:t xml:space="preserve">Standard 4.2 states: </w:t>
      </w:r>
      <w:r w:rsidRPr="00E835BD">
        <w:rPr>
          <w:rFonts w:ascii="Trebuchet MS" w:hAnsi="Trebuchet MS" w:cstheme="minorHAnsi"/>
          <w:i/>
          <w:iCs/>
        </w:rPr>
        <w:t xml:space="preserve">“Ensure that the views of employers, practitioners and people with lived experience of social work are incorporated into the </w:t>
      </w:r>
      <w:r w:rsidR="00052D78" w:rsidRPr="00E835BD">
        <w:rPr>
          <w:rFonts w:ascii="Trebuchet MS" w:hAnsi="Trebuchet MS" w:cstheme="minorHAnsi"/>
          <w:i/>
          <w:iCs/>
        </w:rPr>
        <w:t>design</w:t>
      </w:r>
      <w:r w:rsidRPr="00E835BD">
        <w:rPr>
          <w:rFonts w:ascii="Trebuchet MS" w:hAnsi="Trebuchet MS" w:cstheme="minorHAnsi"/>
          <w:i/>
          <w:iCs/>
        </w:rPr>
        <w:t>, ongoing development and review of the curriculum”.</w:t>
      </w:r>
    </w:p>
    <w:p w14:paraId="7BF2A5A5" w14:textId="42322308" w:rsidR="00825C8B" w:rsidRPr="00BB0F52" w:rsidRDefault="007E42FB" w:rsidP="00825C8B">
      <w:pPr>
        <w:pStyle w:val="NormalWeb"/>
        <w:rPr>
          <w:rFonts w:ascii="Trebuchet MS" w:hAnsi="Trebuchet MS" w:cstheme="minorHAnsi"/>
          <w:b/>
          <w:bCs/>
        </w:rPr>
      </w:pPr>
      <w:r w:rsidRPr="007E42FB">
        <w:rPr>
          <w:rFonts w:ascii="Trebuchet MS" w:hAnsi="Trebuchet MS" w:cstheme="minorHAnsi"/>
          <w:b/>
          <w:bCs/>
        </w:rPr>
        <w:t>SUSUN members</w:t>
      </w:r>
      <w:r>
        <w:rPr>
          <w:rFonts w:ascii="Trebuchet MS" w:hAnsi="Trebuchet MS" w:cstheme="minorHAnsi"/>
        </w:rPr>
        <w:t xml:space="preserve"> </w:t>
      </w:r>
      <w:r>
        <w:rPr>
          <w:rFonts w:ascii="Trebuchet MS" w:hAnsi="Trebuchet MS" w:cstheme="minorHAnsi"/>
          <w:b/>
          <w:bCs/>
        </w:rPr>
        <w:t>m</w:t>
      </w:r>
      <w:r w:rsidR="00825C8B" w:rsidRPr="00BB0F52">
        <w:rPr>
          <w:rFonts w:ascii="Trebuchet MS" w:hAnsi="Trebuchet MS" w:cstheme="minorHAnsi"/>
          <w:b/>
          <w:bCs/>
        </w:rPr>
        <w:t>ain duties:</w:t>
      </w:r>
    </w:p>
    <w:p w14:paraId="24271A19" w14:textId="2FEC965D" w:rsidR="00825C8B" w:rsidRPr="00E835BD" w:rsidRDefault="00825C8B" w:rsidP="00825C8B">
      <w:pPr>
        <w:numPr>
          <w:ilvl w:val="0"/>
          <w:numId w:val="3"/>
        </w:numPr>
        <w:spacing w:before="100" w:beforeAutospacing="1" w:after="100" w:afterAutospacing="1"/>
        <w:rPr>
          <w:rFonts w:ascii="Trebuchet MS" w:hAnsi="Trebuchet MS" w:cstheme="minorHAnsi"/>
        </w:rPr>
      </w:pPr>
      <w:r w:rsidRPr="00E835BD">
        <w:rPr>
          <w:rFonts w:ascii="Trebuchet MS" w:hAnsi="Trebuchet MS" w:cstheme="minorHAnsi"/>
        </w:rPr>
        <w:t>Actively participating in the recruitment and selection of students (including being part of the interview panel alongside an employer and an academic)</w:t>
      </w:r>
    </w:p>
    <w:p w14:paraId="0B21047B" w14:textId="77777777" w:rsidR="00825C8B" w:rsidRPr="00E835BD" w:rsidRDefault="00825C8B" w:rsidP="00825C8B">
      <w:pPr>
        <w:numPr>
          <w:ilvl w:val="0"/>
          <w:numId w:val="3"/>
        </w:numPr>
        <w:spacing w:before="100" w:beforeAutospacing="1" w:after="100" w:afterAutospacing="1"/>
        <w:rPr>
          <w:rFonts w:ascii="Trebuchet MS" w:hAnsi="Trebuchet MS" w:cstheme="minorHAnsi"/>
        </w:rPr>
      </w:pPr>
      <w:r w:rsidRPr="00E835BD">
        <w:rPr>
          <w:rFonts w:ascii="Trebuchet MS" w:hAnsi="Trebuchet MS" w:cstheme="minorHAnsi"/>
        </w:rPr>
        <w:t>Providing teaching opportunities for students where they provide a unique perspective and insight into their experiences of both being cared for and caring for others</w:t>
      </w:r>
    </w:p>
    <w:p w14:paraId="2E42C993" w14:textId="2844A33B" w:rsidR="00825C8B" w:rsidRPr="00E835BD" w:rsidRDefault="00825C8B" w:rsidP="00825C8B">
      <w:pPr>
        <w:numPr>
          <w:ilvl w:val="0"/>
          <w:numId w:val="3"/>
        </w:numPr>
        <w:spacing w:before="100" w:beforeAutospacing="1" w:after="100" w:afterAutospacing="1"/>
        <w:rPr>
          <w:rFonts w:ascii="Trebuchet MS" w:hAnsi="Trebuchet MS" w:cstheme="minorHAnsi"/>
        </w:rPr>
      </w:pPr>
      <w:r w:rsidRPr="00E835BD">
        <w:rPr>
          <w:rFonts w:ascii="Trebuchet MS" w:hAnsi="Trebuchet MS" w:cstheme="minorHAnsi"/>
        </w:rPr>
        <w:t>Participating in the review and development of the curriculum, from design through to evaluation</w:t>
      </w:r>
    </w:p>
    <w:p w14:paraId="533BE0C5" w14:textId="77777777" w:rsidR="00825C8B" w:rsidRPr="00E835BD" w:rsidRDefault="00825C8B" w:rsidP="00825C8B">
      <w:pPr>
        <w:numPr>
          <w:ilvl w:val="0"/>
          <w:numId w:val="3"/>
        </w:numPr>
        <w:spacing w:before="100" w:beforeAutospacing="1" w:after="100" w:afterAutospacing="1"/>
        <w:rPr>
          <w:rFonts w:ascii="Trebuchet MS" w:hAnsi="Trebuchet MS" w:cstheme="minorHAnsi"/>
        </w:rPr>
      </w:pPr>
      <w:r w:rsidRPr="00E835BD">
        <w:rPr>
          <w:rFonts w:ascii="Trebuchet MS" w:hAnsi="Trebuchet MS" w:cstheme="minorHAnsi"/>
        </w:rPr>
        <w:t>Assessing students alongside practice learning partners and academics</w:t>
      </w:r>
    </w:p>
    <w:p w14:paraId="3B2AD3A3" w14:textId="00E71A63" w:rsidR="00825C8B" w:rsidRPr="00E835BD" w:rsidRDefault="00825C8B" w:rsidP="00825C8B">
      <w:pPr>
        <w:numPr>
          <w:ilvl w:val="0"/>
          <w:numId w:val="3"/>
        </w:numPr>
        <w:spacing w:before="100" w:beforeAutospacing="1" w:after="100" w:afterAutospacing="1"/>
        <w:rPr>
          <w:rFonts w:ascii="Trebuchet MS" w:hAnsi="Trebuchet MS" w:cstheme="minorHAnsi"/>
        </w:rPr>
      </w:pPr>
      <w:r w:rsidRPr="00E835BD">
        <w:rPr>
          <w:rFonts w:ascii="Trebuchet MS" w:hAnsi="Trebuchet MS" w:cstheme="minorHAnsi"/>
        </w:rPr>
        <w:t>Involvement in research opportunities</w:t>
      </w:r>
    </w:p>
    <w:p w14:paraId="3CEBEA82" w14:textId="7F6D4A53" w:rsidR="00825C8B" w:rsidRPr="00BB0F52" w:rsidRDefault="00825C8B" w:rsidP="00825C8B">
      <w:pPr>
        <w:spacing w:before="100" w:beforeAutospacing="1" w:after="100" w:afterAutospacing="1"/>
        <w:rPr>
          <w:rFonts w:ascii="Trebuchet MS" w:hAnsi="Trebuchet MS" w:cstheme="minorHAnsi"/>
          <w:b/>
          <w:bCs/>
        </w:rPr>
      </w:pPr>
      <w:r w:rsidRPr="00BB0F52">
        <w:rPr>
          <w:rFonts w:ascii="Trebuchet MS" w:hAnsi="Trebuchet MS" w:cstheme="minorHAnsi"/>
          <w:b/>
          <w:bCs/>
        </w:rPr>
        <w:t>Person specification:</w:t>
      </w:r>
    </w:p>
    <w:p w14:paraId="7505E788" w14:textId="410A8F58" w:rsidR="00825C8B" w:rsidRPr="00BB0F52" w:rsidRDefault="00A02A4B" w:rsidP="00BB0F52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rebuchet MS" w:hAnsi="Trebuchet MS" w:cstheme="minorHAnsi"/>
        </w:rPr>
      </w:pPr>
      <w:r w:rsidRPr="00E835BD">
        <w:rPr>
          <w:rFonts w:ascii="Trebuchet MS" w:hAnsi="Trebuchet MS" w:cstheme="minorHAnsi"/>
        </w:rPr>
        <w:t>M</w:t>
      </w:r>
      <w:r w:rsidR="00825C8B" w:rsidRPr="00E835BD">
        <w:rPr>
          <w:rFonts w:ascii="Trebuchet MS" w:hAnsi="Trebuchet MS" w:cstheme="minorHAnsi"/>
        </w:rPr>
        <w:t xml:space="preserve">ust have used health </w:t>
      </w:r>
      <w:r w:rsidR="00740E3B" w:rsidRPr="00E835BD">
        <w:rPr>
          <w:rFonts w:ascii="Trebuchet MS" w:hAnsi="Trebuchet MS" w:cstheme="minorHAnsi"/>
        </w:rPr>
        <w:t xml:space="preserve">or social care </w:t>
      </w:r>
      <w:r w:rsidR="00825C8B" w:rsidRPr="00E835BD">
        <w:rPr>
          <w:rFonts w:ascii="Trebuchet MS" w:hAnsi="Trebuchet MS" w:cstheme="minorHAnsi"/>
        </w:rPr>
        <w:t>service</w:t>
      </w:r>
      <w:r w:rsidR="00740E3B" w:rsidRPr="00E835BD">
        <w:rPr>
          <w:rFonts w:ascii="Trebuchet MS" w:hAnsi="Trebuchet MS" w:cstheme="minorHAnsi"/>
        </w:rPr>
        <w:t xml:space="preserve">s </w:t>
      </w:r>
      <w:r w:rsidR="00825C8B" w:rsidRPr="00E835BD">
        <w:rPr>
          <w:rFonts w:ascii="Trebuchet MS" w:hAnsi="Trebuchet MS" w:cstheme="minorHAnsi"/>
        </w:rPr>
        <w:t>or have experience of caring for another person.</w:t>
      </w:r>
    </w:p>
    <w:p w14:paraId="21B49C65" w14:textId="77777777" w:rsidR="00825C8B" w:rsidRDefault="00825C8B" w:rsidP="00825C8B">
      <w:pPr>
        <w:pStyle w:val="NormalWeb"/>
      </w:pPr>
    </w:p>
    <w:sectPr w:rsidR="00825C8B" w:rsidSect="00607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C024" w14:textId="77777777" w:rsidR="00D2585B" w:rsidRDefault="00D2585B" w:rsidP="00D11CB8">
      <w:r>
        <w:separator/>
      </w:r>
    </w:p>
  </w:endnote>
  <w:endnote w:type="continuationSeparator" w:id="0">
    <w:p w14:paraId="59B69BB7" w14:textId="77777777" w:rsidR="00D2585B" w:rsidRDefault="00D2585B" w:rsidP="00D1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FA76" w14:textId="77777777" w:rsidR="00D2585B" w:rsidRDefault="00D2585B" w:rsidP="00D11CB8">
      <w:r>
        <w:separator/>
      </w:r>
    </w:p>
  </w:footnote>
  <w:footnote w:type="continuationSeparator" w:id="0">
    <w:p w14:paraId="4E9E6A77" w14:textId="77777777" w:rsidR="00D2585B" w:rsidRDefault="00D2585B" w:rsidP="00D1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077"/>
    <w:multiLevelType w:val="hybridMultilevel"/>
    <w:tmpl w:val="FDEC0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219D6"/>
    <w:multiLevelType w:val="hybridMultilevel"/>
    <w:tmpl w:val="D1AC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66F3C"/>
    <w:multiLevelType w:val="hybridMultilevel"/>
    <w:tmpl w:val="56DEF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B5CBF"/>
    <w:multiLevelType w:val="multilevel"/>
    <w:tmpl w:val="9904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915956">
    <w:abstractNumId w:val="0"/>
  </w:num>
  <w:num w:numId="2" w16cid:durableId="2113209161">
    <w:abstractNumId w:val="2"/>
  </w:num>
  <w:num w:numId="3" w16cid:durableId="1799756642">
    <w:abstractNumId w:val="3"/>
  </w:num>
  <w:num w:numId="4" w16cid:durableId="167834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25C8B"/>
    <w:rsid w:val="000166AA"/>
    <w:rsid w:val="00052D78"/>
    <w:rsid w:val="00071B40"/>
    <w:rsid w:val="000B7145"/>
    <w:rsid w:val="000F49BD"/>
    <w:rsid w:val="00143310"/>
    <w:rsid w:val="001601C0"/>
    <w:rsid w:val="001B0BD4"/>
    <w:rsid w:val="00202F6F"/>
    <w:rsid w:val="00207850"/>
    <w:rsid w:val="00253D48"/>
    <w:rsid w:val="002814DA"/>
    <w:rsid w:val="003A080E"/>
    <w:rsid w:val="003A3A06"/>
    <w:rsid w:val="00607BE4"/>
    <w:rsid w:val="0066601F"/>
    <w:rsid w:val="006B522F"/>
    <w:rsid w:val="00711306"/>
    <w:rsid w:val="00740E3B"/>
    <w:rsid w:val="00756166"/>
    <w:rsid w:val="00773DE4"/>
    <w:rsid w:val="00795DC5"/>
    <w:rsid w:val="007E42FB"/>
    <w:rsid w:val="008240D0"/>
    <w:rsid w:val="00825C8B"/>
    <w:rsid w:val="00857AB3"/>
    <w:rsid w:val="009F7333"/>
    <w:rsid w:val="00A02A4B"/>
    <w:rsid w:val="00A33F0E"/>
    <w:rsid w:val="00AC739A"/>
    <w:rsid w:val="00B100E5"/>
    <w:rsid w:val="00BB0F52"/>
    <w:rsid w:val="00BB326B"/>
    <w:rsid w:val="00BB5F14"/>
    <w:rsid w:val="00BE7E5D"/>
    <w:rsid w:val="00C741DF"/>
    <w:rsid w:val="00CD1724"/>
    <w:rsid w:val="00CF5566"/>
    <w:rsid w:val="00D11CB8"/>
    <w:rsid w:val="00D2521F"/>
    <w:rsid w:val="00D2585B"/>
    <w:rsid w:val="00D303CB"/>
    <w:rsid w:val="00D64195"/>
    <w:rsid w:val="00DA02CB"/>
    <w:rsid w:val="00DE1370"/>
    <w:rsid w:val="00E65989"/>
    <w:rsid w:val="00E835BD"/>
    <w:rsid w:val="00F31D07"/>
    <w:rsid w:val="00F9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8C0B9F0"/>
  <w15:chartTrackingRefBased/>
  <w15:docId w15:val="{030F5C6B-C885-41D4-B29F-ECC0DE12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8B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semiHidden/>
    <w:unhideWhenUsed/>
    <w:rsid w:val="00825C8B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825C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11C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C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C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C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18DC02D8BE144B4F601FC9B4AE02D" ma:contentTypeVersion="13" ma:contentTypeDescription="Create a new document." ma:contentTypeScope="" ma:versionID="1313e787287fe48810a26f050443c8a9">
  <xsd:schema xmlns:xsd="http://www.w3.org/2001/XMLSchema" xmlns:xs="http://www.w3.org/2001/XMLSchema" xmlns:p="http://schemas.microsoft.com/office/2006/metadata/properties" xmlns:ns3="bda56ded-a22c-4683-bcd3-bf5fb17fe93e" xmlns:ns4="d9ea5d4b-ddd2-4c04-958c-aa7dddd6d8af" targetNamespace="http://schemas.microsoft.com/office/2006/metadata/properties" ma:root="true" ma:fieldsID="a583a85a93c953a2b18787ad977ce78a" ns3:_="" ns4:_="">
    <xsd:import namespace="bda56ded-a22c-4683-bcd3-bf5fb17fe93e"/>
    <xsd:import namespace="d9ea5d4b-ddd2-4c04-958c-aa7dddd6d8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56ded-a22c-4683-bcd3-bf5fb17fe9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a5d4b-ddd2-4c04-958c-aa7dddd6d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C5B71-F79B-4292-BEEA-23E6116E37FA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9ea5d4b-ddd2-4c04-958c-aa7dddd6d8af"/>
    <ds:schemaRef ds:uri="bda56ded-a22c-4683-bcd3-bf5fb17fe93e"/>
  </ds:schemaRefs>
</ds:datastoreItem>
</file>

<file path=customXml/itemProps2.xml><?xml version="1.0" encoding="utf-8"?>
<ds:datastoreItem xmlns:ds="http://schemas.openxmlformats.org/officeDocument/2006/customXml" ds:itemID="{EAB88E8E-D10E-40EC-8559-4F5E5EBD6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DF6C7-EEFC-4DBC-8CCA-1C0ADF5E5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56ded-a22c-4683-bcd3-bf5fb17fe93e"/>
    <ds:schemaRef ds:uri="d9ea5d4b-ddd2-4c04-958c-aa7dddd6d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Gorecki</dc:creator>
  <cp:keywords/>
  <dc:description/>
  <cp:lastModifiedBy>David Galley</cp:lastModifiedBy>
  <cp:revision>41</cp:revision>
  <dcterms:created xsi:type="dcterms:W3CDTF">2020-10-20T10:26:00Z</dcterms:created>
  <dcterms:modified xsi:type="dcterms:W3CDTF">2026-01-14T13:43:00Z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0x01010013318DC02D8BE144B4F601FC9B4AE02D</vt:lpwstr>
  </property>
</Properties>
</file>